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государственную </w:t>
      </w:r>
      <w:hyperlink r:id="rId13" w:tooltip="consultantplus://offline/ref=8B0EAE4DC1E42608357C6F1FC174F0FAA79F8A5680C8D468005A638220FF387A397AEE37F8C2E1AB21E42DA6DB96156CD3CA9E45D5D992B10222AErDJAG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программу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 w:cs="Times New Roman"/>
          <w:sz w:val="28"/>
          <w:szCs w:val="28"/>
        </w:rPr>
        <w:t xml:space="preserve">Развитие земельно-имущественного комплекса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на 2024 – 2028 годы, утвержденную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постановлением правительства Еврейской автономной области от 26.12.2023 № 609-пп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ПОСТАНОВЛЯЕТ: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государственную </w:t>
      </w:r>
      <w:hyperlink r:id="rId14" w:tooltip="consultantplus://offline/ref=8B0EAE4DC1E42608357C6F1FC174F0FAA79F8A5680C8D468005A638220FF387A397AEE37F8C2E1AB21E42DA6DB96156CD3CA9E45D5D992B10222AErDJAG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программу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 w:cs="Times New Roman"/>
          <w:sz w:val="28"/>
          <w:szCs w:val="28"/>
        </w:rPr>
        <w:t xml:space="preserve">Развитие земельно-имущественного комплекса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на 2024 – 2028 годы, утвержденную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постановлением правительства Еврейской автономной области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26.12.2023 № 609-пп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«О государственной программе Еврейской автономной области «Развитие земельно-имущественного комплекса Еврейской автономной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2028 годы»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87"/>
        <w:numPr>
          <w:ilvl w:val="1"/>
          <w:numId w:val="27"/>
        </w:numPr>
        <w:contextualSpacing w:val="0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«Паспорт государственной программы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87"/>
        <w:contextualSpacing w:val="0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строку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Финансовое обеспечение государствен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пункта 1 «Основные положения»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978"/>
        <w:tblW w:w="5000" w:type="pct"/>
        <w:tblLook w:val="04A0" w:firstRow="1" w:lastRow="0" w:firstColumn="1" w:lastColumn="0" w:noHBand="0" w:noVBand="1"/>
      </w:tblPr>
      <w:tblGrid>
        <w:gridCol w:w="2236"/>
        <w:gridCol w:w="7334"/>
      </w:tblGrid>
      <w:tr>
        <w:trPr/>
        <w:tc>
          <w:tcPr>
            <w:tcW w:w="1168" w:type="pc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«Ресурсное обе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383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реализации государственной программы – 98445,1 тыс. рублей,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8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</w:p>
          <w:p>
            <w:pPr>
              <w:pStyle w:val="98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за счет средств областного бюджета – 80293,4 тыс. рублей, в том числе: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</w:p>
          <w:p>
            <w:pPr>
              <w:pStyle w:val="98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2024 год – 16747,1 тыс. рублей;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</w:p>
          <w:p>
            <w:pPr>
              <w:pStyle w:val="98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2025 год – 14007,3 тыс. рублей;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</w:p>
          <w:p>
            <w:pPr>
              <w:pStyle w:val="98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2026 год – 13539,0 тыс. рублей;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</w:p>
          <w:p>
            <w:pPr>
              <w:pStyle w:val="98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18000,0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тыс. рублей;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</w:p>
          <w:p>
            <w:pPr>
              <w:pStyle w:val="98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2028 год – 18000,0 тыс. рублей;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</w:p>
          <w:p>
            <w:pPr>
              <w:pStyle w:val="98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</w:p>
          <w:p>
            <w:pPr>
              <w:pStyle w:val="98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за счет средств федерального бюджета – 15051,6 тыс. рублей, в том числе: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</w:p>
          <w:p>
            <w:pPr>
              <w:pStyle w:val="98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2024 год – 2734,8 тыс. рублей;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8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2025 год – 7191,4 тыс. рублей;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</w:p>
          <w:p>
            <w:pPr>
              <w:pStyle w:val="98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2026 год – 5125,4 тыс. рублей;</w:t>
            </w:r>
            <w:r/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  <w:highlight w:val="none"/>
              </w:rPr>
            </w:r>
          </w:p>
          <w:p>
            <w:pPr>
              <w:pStyle w:val="98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</w:p>
          <w:p>
            <w:pPr>
              <w:pStyle w:val="98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за счет средств муниципального бюджета – 3100,0 тыс. рублей, в том числе: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</w:p>
          <w:p>
            <w:pPr>
              <w:pStyle w:val="98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2023 год – 800,0 тыс. рублей;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</w:p>
          <w:p>
            <w:pPr>
              <w:pStyle w:val="98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2024 год – 800,0 тыс. рублей;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</w:p>
          <w:p>
            <w:pPr>
              <w:pStyle w:val="98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2025 год – 800,0 тыс. рублей;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</w:p>
          <w:p>
            <w:pPr>
              <w:pStyle w:val="986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2026 год – 700,0 тыс. рублей».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</w:r>
          </w:p>
        </w:tc>
      </w:tr>
    </w:tbl>
    <w:p>
      <w:pPr>
        <w:contextualSpacing w:val="0"/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after="0" w:line="240" w:lineRule="auto"/>
        <w:tabs>
          <w:tab w:val="left" w:pos="1843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пункт 4</w:t>
      </w:r>
      <w:r>
        <w:rPr>
          <w:rFonts w:ascii="Times New Roman" w:hAnsi="Times New Roman" w:cs="Times New Roman"/>
          <w:sz w:val="28"/>
        </w:rPr>
        <w:t xml:space="preserve"> «Финансовое обеспечение государственной программы»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before="113" w:beforeAutospacing="0" w:after="0" w:line="22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«4. Финансовое обеспечение государственной программы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170" w:beforeAutospacing="0" w:after="0" w:line="22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 Финансовое обеспечение государственной программы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after="0" w:line="22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 счет средств областного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бюджета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2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8"/>
        <w:tblW w:w="4964" w:type="pct"/>
        <w:tblLayout w:type="fixed"/>
        <w:tblLook w:val="04A0" w:firstRow="1" w:lastRow="0" w:firstColumn="1" w:lastColumn="0" w:noHBand="0" w:noVBand="1"/>
      </w:tblPr>
      <w:tblGrid>
        <w:gridCol w:w="3189"/>
        <w:gridCol w:w="2581"/>
        <w:gridCol w:w="918"/>
        <w:gridCol w:w="912"/>
        <w:gridCol w:w="1354"/>
        <w:gridCol w:w="933"/>
        <w:gridCol w:w="1031"/>
        <w:gridCol w:w="982"/>
        <w:gridCol w:w="982"/>
        <w:gridCol w:w="982"/>
        <w:gridCol w:w="984"/>
      </w:tblGrid>
      <w:tr>
        <w:trPr/>
        <w:tc>
          <w:tcPr>
            <w:tcW w:w="3189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3184" w:type="dxa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W w:w="5894" w:type="dxa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189" w:type="dxa"/>
            <w:vMerge w:val="continue"/>
            <w:textDirection w:val="lrTb"/>
            <w:noWrap w:val="false"/>
          </w:tcPr>
          <w:p>
            <w:pPr>
              <w:pStyle w:val="9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81" w:type="dxa"/>
            <w:vMerge w:val="continue"/>
            <w:textDirection w:val="lrTb"/>
            <w:noWrap w:val="false"/>
          </w:tcPr>
          <w:p>
            <w:pPr>
              <w:pStyle w:val="9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189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189" w:type="dxa"/>
            <w:vMerge w:val="restart"/>
            <w:textDirection w:val="lrTb"/>
            <w:noWrap w:val="false"/>
          </w:tcPr>
          <w:p>
            <w:pPr>
              <w:pStyle w:val="988"/>
              <w:spacing w:line="22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«Развитие земельно-имущественного комплекса Еврейской автономной области»</w:t>
              <w:br/>
              <w:t xml:space="preserve"> на 2024 – 2028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988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ind w:left="-119" w:right="-107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80293,4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 xml:space="preserve">6747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14007,3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13539,0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083"/>
        </w:trPr>
        <w:tc>
          <w:tcPr>
            <w:tcW w:w="318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988"/>
              <w:ind w:right="-106"/>
              <w:spacing w:line="240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управлению государственным имуществом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ind w:left="-119" w:right="-107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9428,3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1642,1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1459,0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1327,2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318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98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«Облкадастр»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ind w:left="-119" w:right="-10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5000100590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65136,3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14229,8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11334,9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10998,4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113" w:right="-113" w:firstLine="0"/>
              <w:jc w:val="center"/>
              <w:spacing w:line="240" w:lineRule="auto"/>
              <w:rPr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8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98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ind w:left="-59" w:right="-107"/>
              <w:jc w:val="center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5000290100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1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5728,8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875,20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189" w:type="dxa"/>
            <w:vMerge w:val="restart"/>
            <w:textDirection w:val="lrTb"/>
            <w:noWrap w:val="false"/>
          </w:tcPr>
          <w:p>
            <w:pPr>
              <w:ind w:right="-107"/>
              <w:spacing w:line="240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«Национальная система пространственных данных»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988"/>
              <w:ind w:right="-106"/>
              <w:spacing w:line="240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ind w:left="-59" w:right="-10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642,1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189" w:type="dxa"/>
            <w:vMerge w:val="restart"/>
            <w:textDirection w:val="lrTb"/>
            <w:noWrap w:val="false"/>
          </w:tcPr>
          <w:p>
            <w:pPr>
              <w:ind w:right="-107"/>
              <w:jc w:val="left"/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107"/>
              <w:jc w:val="left"/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«Выполнение комплексных кадастровых работ»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988"/>
              <w:ind w:right="-106"/>
              <w:spacing w:line="228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ind w:left="-59" w:right="-107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642,1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18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988"/>
              <w:ind w:right="-106"/>
              <w:spacing w:line="228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управлению государственным имуществом области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ind w:left="-59" w:right="-107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642,1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pStyle w:val="988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«Подготовка к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проведение государственной кадастровой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объектов недвижимости,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pStyle w:val="98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pStyle w:val="988"/>
              <w:ind w:left="-59" w:right="-66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textDirection w:val="lrTb"/>
            <w:noWrap w:val="false"/>
          </w:tcPr>
          <w:p>
            <w:pPr>
              <w:pStyle w:val="988"/>
              <w:ind w:left="-59" w:right="-66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pStyle w:val="988"/>
              <w:ind w:left="-119" w:right="-10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5136,3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14229,8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11334,9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10998,4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ind w:left="-113" w:right="-113" w:firstLine="0"/>
              <w:jc w:val="center"/>
              <w:spacing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/>
            <w:r/>
          </w:p>
        </w:tc>
      </w:tr>
      <w:tr>
        <w:trPr/>
        <w:tc>
          <w:tcPr>
            <w:tcW w:w="3189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189" w:type="dxa"/>
            <w:vMerge w:val="restart"/>
            <w:textDirection w:val="lrTb"/>
            <w:noWrap w:val="false"/>
          </w:tcPr>
          <w:p>
            <w:pPr>
              <w:pStyle w:val="988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расположенных на территории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98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ind w:left="-59" w:right="-66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ind w:left="-59" w:right="-66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ind w:left="-119" w:right="-10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113" w:right="-113"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8"/>
        </w:trPr>
        <w:tc>
          <w:tcPr>
            <w:tcW w:w="3189" w:type="dxa"/>
            <w:vMerge w:val="restart"/>
            <w:textDirection w:val="lrTb"/>
            <w:noWrap w:val="false"/>
          </w:tcPr>
          <w:p>
            <w:pPr>
              <w:pStyle w:val="988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8"/>
              <w:jc w:val="left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областного государственного бюджетного учреждения «Центр государственной кадастровой оценки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технической инвентаризации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98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ind w:left="-59" w:right="-66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ind w:left="-59" w:right="-66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ind w:left="-119" w:right="-10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5136,3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14229,8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11334,9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10998,4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113" w:right="-113" w:firstLine="0"/>
              <w:jc w:val="center"/>
              <w:spacing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/>
            <w:r/>
          </w:p>
        </w:tc>
      </w:tr>
      <w:tr>
        <w:trPr>
          <w:trHeight w:val="826"/>
        </w:trPr>
        <w:tc>
          <w:tcPr>
            <w:tcW w:w="318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581" w:type="dxa"/>
            <w:textDirection w:val="lrTb"/>
            <w:noWrap w:val="false"/>
          </w:tcPr>
          <w:p>
            <w:pPr>
              <w:pStyle w:val="98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«Облкадастр»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pStyle w:val="98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textDirection w:val="lrTb"/>
            <w:noWrap w:val="false"/>
          </w:tcPr>
          <w:p>
            <w:pPr>
              <w:pStyle w:val="98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pStyle w:val="988"/>
              <w:ind w:left="-119" w:right="-107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5000100590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5136,3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14229,8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11334,9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10998,4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ind w:left="-113" w:right="-11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ind w:left="-113" w:right="-113" w:firstLine="0"/>
              <w:jc w:val="center"/>
              <w:spacing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/>
            <w:r/>
          </w:p>
        </w:tc>
      </w:tr>
      <w:tr>
        <w:trPr/>
        <w:tc>
          <w:tcPr>
            <w:tcW w:w="3189" w:type="dxa"/>
            <w:vMerge w:val="restart"/>
            <w:textDirection w:val="lrTb"/>
            <w:noWrap w:val="false"/>
          </w:tcPr>
          <w:p>
            <w:pPr>
              <w:spacing w:line="230" w:lineRule="auto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«Проведение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988"/>
              <w:jc w:val="left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комплексных кадастровых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 в границах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кадастровых кварталов,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расположенных на территории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ind w:right="-106"/>
              <w:spacing w:line="23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ind w:left="-59" w:right="-107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5000200000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189" w:type="dxa"/>
            <w:vMerge w:val="restart"/>
            <w:textDirection w:val="lrTb"/>
            <w:noWrap w:val="false"/>
          </w:tcPr>
          <w:p>
            <w:pPr>
              <w:ind w:right="-108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«Предоставление субсидии бюджетам муниципальных образований Еврейской автономной области в целях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выполнение комплексных кадастровых работ»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ind w:right="-106"/>
              <w:spacing w:line="23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ind w:left="-59" w:right="-107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5000200000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18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988"/>
              <w:jc w:val="left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Органы МСУ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ind w:left="-59" w:right="-107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5000290100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189" w:type="dxa"/>
            <w:vMerge w:val="restart"/>
            <w:textDirection w:val="lrTb"/>
            <w:noWrap w:val="false"/>
          </w:tcPr>
          <w:p>
            <w:pPr>
              <w:ind w:right="-107"/>
              <w:spacing w:line="230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«Подготовка генеральных планов сельских и городских поселений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988"/>
              <w:ind w:right="-106"/>
              <w:spacing w:line="230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ind w:left="-59" w:right="-107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5000600000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189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189" w:type="dxa"/>
            <w:vMerge w:val="restart"/>
            <w:textDirection w:val="lrTb"/>
            <w:noWrap w:val="false"/>
          </w:tcPr>
          <w:p>
            <w:pPr>
              <w:ind w:right="-107"/>
              <w:spacing w:line="230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988"/>
              <w:ind w:right="-106"/>
              <w:spacing w:line="230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ind w:left="-59" w:right="-107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189" w:type="dxa"/>
            <w:vMerge w:val="restart"/>
            <w:textDirection w:val="lrTb"/>
            <w:noWrap w:val="false"/>
          </w:tcPr>
          <w:p>
            <w:pPr>
              <w:ind w:right="-107"/>
              <w:spacing w:line="230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«Изготовление генеральных планов сельских и городских поселений Еврейской автономной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988"/>
              <w:ind w:right="-106"/>
              <w:spacing w:line="230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ind w:left="-59" w:right="-107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5000690140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18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988"/>
              <w:ind w:right="-106"/>
              <w:spacing w:line="230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управлению государственным имуществом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ind w:left="-59" w:right="-107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5000690140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3189" w:type="dxa"/>
            <w:textDirection w:val="lrTb"/>
            <w:noWrap w:val="false"/>
          </w:tcPr>
          <w:p>
            <w:pPr>
              <w:pStyle w:val="988"/>
              <w:jc w:val="left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«Создание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единой электронной картографической основы территорий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pStyle w:val="988"/>
              <w:ind w:right="-106"/>
              <w:spacing w:line="230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pStyle w:val="988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textDirection w:val="lrTb"/>
            <w:noWrap w:val="false"/>
          </w:tcPr>
          <w:p>
            <w:pPr>
              <w:pStyle w:val="988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pStyle w:val="988"/>
              <w:ind w:left="-119" w:right="-107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5000300000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189" w:type="dxa"/>
            <w:vMerge w:val="restart"/>
            <w:textDirection w:val="lrTb"/>
            <w:noWrap w:val="false"/>
          </w:tcPr>
          <w:p>
            <w:pPr>
              <w:ind w:right="-107"/>
              <w:spacing w:line="223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«Изготовление цифровых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ортофотопланов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масштаба 1:2000 территорий Еврейской автономной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spacing w:line="223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988"/>
              <w:ind w:left="-119" w:right="-107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5000390120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18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581" w:type="dxa"/>
            <w:textDirection w:val="lrTb"/>
            <w:noWrap w:val="false"/>
          </w:tcPr>
          <w:p>
            <w:pPr>
              <w:spacing w:line="223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управлению государственным имуществом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2" w:type="dxa"/>
            <w:textDirection w:val="lrTb"/>
            <w:noWrap w:val="false"/>
          </w:tcPr>
          <w:p>
            <w:pPr>
              <w:pStyle w:val="988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pStyle w:val="988"/>
              <w:ind w:left="-119" w:right="-107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5000390120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23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23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4.2. Финансовое обеспечение государственной программы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 счет средств областного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бюджета и прогнозная оценка привлекаемых на реализацию 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целей средств федерального бюджета, бюджетов муниципальных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образований области, внебюджетных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источников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23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tbl>
      <w:tblPr>
        <w:tblStyle w:val="978"/>
        <w:tblW w:w="4964" w:type="pct"/>
        <w:tblLayout w:type="fixed"/>
        <w:tblLook w:val="04A0" w:firstRow="1" w:lastRow="0" w:firstColumn="1" w:lastColumn="0" w:noHBand="0" w:noVBand="1"/>
      </w:tblPr>
      <w:tblGrid>
        <w:gridCol w:w="4360"/>
        <w:gridCol w:w="2268"/>
        <w:gridCol w:w="1370"/>
        <w:gridCol w:w="1370"/>
        <w:gridCol w:w="1370"/>
        <w:gridCol w:w="1370"/>
        <w:gridCol w:w="1370"/>
        <w:gridCol w:w="1371"/>
      </w:tblGrid>
      <w:tr>
        <w:trPr>
          <w:trHeight w:val="355"/>
        </w:trPr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gridSpan w:val="6"/>
            <w:tcW w:w="8221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3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0"/>
        </w:trPr>
        <w:tc>
          <w:tcPr>
            <w:tcW w:w="436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«Развитие земельно-имущественного комплекса Еврейской автономной области»</w:t>
              <w:br/>
              <w:t xml:space="preserve">на 2024 – 2028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98445,0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20281,9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21998,7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19464,4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15051,6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2734,8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7191,4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80293,4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16747,1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14007,3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13539,0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2"/>
        </w:trPr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юджеты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муниципальных </w:t>
            </w:r>
            <w:r>
              <w:rPr>
                <w:highlight w:val="white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restart"/>
            <w:textDirection w:val="lrTb"/>
            <w:noWrap w:val="false"/>
          </w:tcPr>
          <w:p>
            <w:pPr>
              <w:spacing w:line="228" w:lineRule="auto"/>
            </w:pPr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небюджетные источники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360" w:type="dxa"/>
            <w:vMerge w:val="restart"/>
            <w:textDirection w:val="lrTb"/>
            <w:noWrap w:val="false"/>
          </w:tcPr>
          <w:p>
            <w:pPr>
              <w:spacing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«Национальная система пространственных данных»</w:t>
            </w:r>
            <w:r/>
            <w:r/>
          </w:p>
          <w:p>
            <w:pPr>
              <w:spacing w:line="228" w:lineRule="auto"/>
            </w:pPr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16479,9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3376,9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7650,4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5452,6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15051,6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2734,8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7191,4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642,1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небюджетные источники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restart"/>
            <w:textDirection w:val="lrTb"/>
            <w:noWrap w:val="false"/>
          </w:tcPr>
          <w:p>
            <w:pPr>
              <w:ind w:right="-107"/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«Выполнение комплексных кадастровых работ»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16479,9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3376,9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7650,4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5452,6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15051,6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2734,8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7191,4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642,1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образований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54"/>
        </w:trPr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небюджетные источники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3"/>
        </w:trPr>
        <w:tc>
          <w:tcPr>
            <w:tcW w:w="4360" w:type="dxa"/>
            <w:vMerge w:val="restart"/>
            <w:textDirection w:val="lrTb"/>
            <w:noWrap w:val="false"/>
          </w:tcPr>
          <w:p>
            <w:pPr>
              <w:pStyle w:val="988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проведению и проведение государственной кадастровой оценки земельных участков и объектов недвижимости, расположенных на территории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65136,3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14229,8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11334,9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10998,4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ind w:left="-113" w:right="-113" w:firstLine="0"/>
              <w:jc w:val="center"/>
              <w:spacing w:line="228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/>
            <w:r/>
          </w:p>
        </w:tc>
      </w:tr>
      <w:tr>
        <w:trPr>
          <w:trHeight w:val="420"/>
        </w:trPr>
        <w:tc>
          <w:tcPr>
            <w:tcW w:w="4360" w:type="dxa"/>
            <w:vMerge w:val="continue"/>
            <w:textDirection w:val="lrTb"/>
            <w:noWrap w:val="false"/>
          </w:tcPr>
          <w:p>
            <w:pPr>
              <w:pStyle w:val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pPr>
              <w:pStyle w:val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65136,3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14229,8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11334,9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10998,4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ind w:left="-113" w:right="-113" w:firstLine="0"/>
              <w:jc w:val="center"/>
              <w:spacing w:line="228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/>
            <w:r/>
          </w:p>
        </w:tc>
      </w:tr>
      <w:tr>
        <w:trPr>
          <w:trHeight w:val="797"/>
        </w:trPr>
        <w:tc>
          <w:tcPr>
            <w:tcW w:w="4360" w:type="dxa"/>
            <w:vMerge w:val="continue"/>
            <w:textDirection w:val="lrTb"/>
            <w:noWrap w:val="false"/>
          </w:tcPr>
          <w:p>
            <w:pPr>
              <w:pStyle w:val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небюджетные источники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restart"/>
            <w:textDirection w:val="lrTb"/>
            <w:noWrap w:val="false"/>
          </w:tcPr>
          <w:p>
            <w:pPr>
              <w:pStyle w:val="988"/>
              <w:spacing w:line="23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областного государственного бюджетного учреждения «Центр государственной кадастровой оценки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88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технической инвентаризации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65136,3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14229,8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11334,9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10998,4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ind w:left="-113" w:right="-113" w:firstLine="0"/>
              <w:jc w:val="center"/>
              <w:spacing w:line="230" w:lineRule="auto"/>
              <w:rPr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pPr>
              <w:pStyle w:val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pPr>
              <w:pStyle w:val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65136,3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14229,8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11334,9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10998,4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ind w:left="-113" w:right="-113" w:firstLine="0"/>
              <w:jc w:val="center"/>
              <w:spacing w:line="230" w:lineRule="auto"/>
              <w:rPr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небюджетные источники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76"/>
        </w:trPr>
        <w:tc>
          <w:tcPr>
            <w:tcW w:w="4360" w:type="dxa"/>
            <w:vMerge w:val="restart"/>
            <w:textDirection w:val="lrTb"/>
            <w:noWrap w:val="false"/>
          </w:tcPr>
          <w:p>
            <w:pPr>
              <w:spacing w:line="23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«Проведение комплексных кадастровых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кадастровых кварталов,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расположенных на территории Еврейской автономной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65"/>
        </w:trPr>
        <w:tc>
          <w:tcPr>
            <w:tcW w:w="4360" w:type="dxa"/>
            <w:vMerge w:val="continue"/>
            <w:textDirection w:val="lrTb"/>
            <w:noWrap w:val="false"/>
          </w:tcPr>
          <w:p>
            <w:pPr>
              <w:pStyle w:val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65"/>
        </w:trPr>
        <w:tc>
          <w:tcPr>
            <w:tcW w:w="4360" w:type="dxa"/>
            <w:vMerge w:val="continue"/>
            <w:textDirection w:val="lrTb"/>
            <w:noWrap w:val="false"/>
          </w:tcPr>
          <w:p>
            <w:pPr>
              <w:pStyle w:val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pPr>
              <w:pStyle w:val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небюджетные источники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restart"/>
            <w:textDirection w:val="lrTb"/>
            <w:noWrap w:val="false"/>
          </w:tcPr>
          <w:p>
            <w:pPr>
              <w:pStyle w:val="988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«Предоставление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7"/>
              <w:spacing w:line="230" w:lineRule="auto"/>
              <w:tabs>
                <w:tab w:val="left" w:pos="14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на выполнени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комплексных кадастровых работ»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"/>
        </w:trPr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"/>
        </w:trPr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"/>
        </w:trPr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"/>
        </w:trPr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небюджетные источники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1"/>
        </w:trPr>
        <w:tc>
          <w:tcPr>
            <w:tcW w:w="4360" w:type="dxa"/>
            <w:vMerge w:val="restart"/>
            <w:textDirection w:val="lrTb"/>
            <w:noWrap w:val="false"/>
          </w:tcPr>
          <w:p>
            <w:pPr>
              <w:ind w:right="-108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«Внесение в Единый государственный реестр недвижимости сведений об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1"/>
        </w:trPr>
        <w:tc>
          <w:tcPr>
            <w:tcW w:w="436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1"/>
        </w:trPr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restart"/>
            <w:textDirection w:val="lrTb"/>
            <w:noWrap w:val="false"/>
          </w:tcPr>
          <w:p>
            <w:pPr>
              <w:ind w:right="-107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административных границах Еврейской автономной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tabs>
                <w:tab w:val="center" w:pos="10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небюджетные источники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restart"/>
            <w:textDirection w:val="lrTb"/>
            <w:noWrap w:val="false"/>
          </w:tcPr>
          <w:p>
            <w:pPr>
              <w:ind w:right="-107"/>
              <w:spacing w:line="223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«Внесение в Единый государственный реестр недвижимости сведений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границах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23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образований Еврейской автономной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01"/>
        </w:trPr>
        <w:tc>
          <w:tcPr>
            <w:tcW w:w="43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436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left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небюджетные источники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4360" w:type="dxa"/>
            <w:vMerge w:val="restart"/>
            <w:textDirection w:val="lrTb"/>
            <w:noWrap w:val="false"/>
          </w:tcPr>
          <w:p>
            <w:pPr>
              <w:ind w:right="-107"/>
              <w:spacing w:line="223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 «Внесение в Единый государственный реестр недвижимости сведений о границах населенных пунктов Еврейской автономной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небюджетные источники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restart"/>
            <w:textDirection w:val="lrTb"/>
            <w:noWrap w:val="false"/>
          </w:tcPr>
          <w:p>
            <w:pPr>
              <w:ind w:right="-107"/>
              <w:spacing w:line="223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3 «Внесение в Единый государственный реестр недвижимости сведений о границах территориальных зон Еврейской автономной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бластной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36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36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небюджетные источники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restart"/>
            <w:textDirection w:val="lrTb"/>
            <w:noWrap w:val="false"/>
          </w:tcPr>
          <w:p>
            <w:pPr>
              <w:ind w:right="-107"/>
              <w:spacing w:line="223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«Подготовка генеральных планов сельских и городских поселений Еврейской автономной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небюджетные источники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restart"/>
            <w:textDirection w:val="lrTb"/>
            <w:noWrap w:val="false"/>
          </w:tcPr>
          <w:p>
            <w:pPr>
              <w:ind w:right="-107"/>
              <w:spacing w:line="223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«Изготовление генеральных планов сельских и городских поселений Еврейской автономной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небюджетные источники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restart"/>
            <w:textDirection w:val="lrTb"/>
            <w:noWrap w:val="false"/>
          </w:tcPr>
          <w:p>
            <w:pPr>
              <w:ind w:right="-107"/>
              <w:spacing w:line="223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«Создание единой электронной картографической основы территорий Еврейской автономной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15"/>
        </w:trPr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pPr>
              <w:pStyle w:val="9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небюджетные источники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4360" w:type="dxa"/>
            <w:vMerge w:val="restart"/>
            <w:textDirection w:val="lrTb"/>
            <w:noWrap w:val="false"/>
          </w:tcPr>
          <w:p>
            <w:pPr>
              <w:ind w:right="-107"/>
              <w:spacing w:line="223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«Изготовление цифровых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ортофотопланов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масштаба 1:2000 территорий Еврейской автономной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23" w:lineRule="auto"/>
              <w:tabs>
                <w:tab w:val="center" w:pos="10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3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небюджетные источники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1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701" w:right="964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Финансовое обеспечение государственной программы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направлениям расходов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1417"/>
        <w:gridCol w:w="1276"/>
        <w:gridCol w:w="1240"/>
      </w:tblGrid>
      <w:tr>
        <w:trPr>
          <w:trHeight w:val="317"/>
        </w:trPr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W w:w="7761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рублей),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1809" w:type="dxa"/>
            <w:vMerge w:val="continue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6485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7"/>
        </w:trPr>
        <w:tc>
          <w:tcPr>
            <w:tcW w:w="1809" w:type="dxa"/>
            <w:vMerge w:val="continue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0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1"/>
        </w:trPr>
        <w:tc>
          <w:tcPr>
            <w:tcW w:w="1809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0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0"/>
        </w:trPr>
        <w:tc>
          <w:tcPr>
            <w:gridSpan w:val="7"/>
            <w:tcW w:w="9570" w:type="dxa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15051,6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2734,8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7191,4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80293,4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16747,1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14007,3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13539,0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88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2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2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2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2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2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4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2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88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85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85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85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85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85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40" w:type="dxa"/>
            <w:vMerge w:val="restart"/>
            <w:textDirection w:val="lrTb"/>
            <w:noWrap w:val="false"/>
          </w:tcPr>
          <w:p>
            <w:pPr>
              <w:jc w:val="center"/>
              <w:spacing w:before="85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W w:w="9570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88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88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W w:w="9570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316"/>
        </w:trPr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88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88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W w:w="9570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809" w:type="dxa"/>
            <w:textDirection w:val="lrTb"/>
            <w:noWrap w:val="false"/>
          </w:tcPr>
          <w:p>
            <w:pPr>
              <w:pStyle w:val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15051,6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2734,8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7191,4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80293,4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16747,1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14007,3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13539,0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88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2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2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2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2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2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40" w:type="dxa"/>
            <w:textDirection w:val="lrTb"/>
            <w:noWrap w:val="false"/>
          </w:tcPr>
          <w:p>
            <w:pPr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2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88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74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74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74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74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74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40" w:type="dxa"/>
            <w:vMerge w:val="restart"/>
            <w:textDirection w:val="lrTb"/>
            <w:noWrap w:val="false"/>
          </w:tcPr>
          <w:p>
            <w:pPr>
              <w:jc w:val="center"/>
              <w:spacing w:before="74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III. Прогноз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сводных показателей государственных заданий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государственных услуг (выполнение работ) государственными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государственной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</w:p>
    <w:tbl>
      <w:tblPr>
        <w:tblStyle w:val="978"/>
        <w:tblW w:w="5000" w:type="pct"/>
        <w:tblLook w:val="04A0" w:firstRow="1" w:lastRow="0" w:firstColumn="1" w:lastColumn="0" w:noHBand="0" w:noVBand="1"/>
      </w:tblPr>
      <w:tblGrid>
        <w:gridCol w:w="636"/>
        <w:gridCol w:w="5465"/>
        <w:gridCol w:w="875"/>
        <w:gridCol w:w="997"/>
        <w:gridCol w:w="772"/>
        <w:gridCol w:w="807"/>
        <w:gridCol w:w="816"/>
        <w:gridCol w:w="997"/>
        <w:gridCol w:w="997"/>
        <w:gridCol w:w="807"/>
        <w:gridCol w:w="810"/>
        <w:gridCol w:w="807"/>
      </w:tblGrid>
      <w:tr>
        <w:trPr/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465" w:type="dxa"/>
            <w:vMerge w:val="restart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государственной услуги (работы), показателя объема услуги (работы)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gridSpan w:val="5"/>
            <w:tcW w:w="426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показателя объема государственной услуги (работы)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tcW w:w="4418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областного бюджета на оказание государственной услуги (выполнение работы),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46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</w:p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</w:p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</w:p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</w:p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</w:p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</w:p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</w:p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</w:p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</w:p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</w:p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ind w:right="-64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деклараций о характеристиках объектов недвижимости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поданных деклараций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(единицы)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замечаний к промежуточным отчетным документам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обращений о рассмотрении замечаний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(единицы)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разъяснений результатов определения кадастровой стоимости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поступивших обращений, запросов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(единицы)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1,2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1,2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1,2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сведений о кадастровой стоимости объектов недвижимости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Объем представленной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(единицы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10</w:t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0,2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обращений, связанных с наличием </w:t>
            </w:r>
            <w:r>
              <w:rPr>
                <w:rFonts w:ascii="Times New Roman" w:hAnsi="Times New Roman"/>
                <w:sz w:val="24"/>
              </w:rPr>
              <w:t xml:space="preserve">ошибок, допущенных при определении кадастровой стоимости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поступивших обращений, запросов (единицы)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40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сведений из технических паспортов, оценочной и иной хранившейся по состоянию на 01 января 2013 года в органах и организациях по государс</w:t>
            </w:r>
            <w:r>
              <w:rPr>
                <w:rFonts w:ascii="Times New Roman" w:hAnsi="Times New Roman"/>
                <w:sz w:val="24"/>
              </w:rPr>
              <w:t xml:space="preserve">твенному техническому учету и (или) технической инвентаризации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>
          <w:trHeight w:val="283"/>
        </w:trPr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vMerge w:val="restart"/>
            <w:textDirection w:val="lrTb"/>
            <w:noWrap w:val="false"/>
          </w:tcPr>
          <w:p>
            <w:pPr>
              <w:ind w:right="-64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2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6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vMerge w:val="restart"/>
            <w:textDirection w:val="lrTb"/>
            <w:noWrap w:val="false"/>
          </w:tcPr>
          <w:p>
            <w:pPr>
              <w:ind w:right="-64"/>
              <w:jc w:val="left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</w:rPr>
              <w:t xml:space="preserve">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2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6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исполненных запросов (единицы)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2000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2000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2000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40,0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40,0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40,0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в федеральный орган исполнительной власти, осуществляющий государственный кадастровый учет и государственную регистрацию прав, информации о данных рынка недвижимости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представленной информации (единицы)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в федеральный орган исполнительной власти, осуществляющий государственный кадастровый учет и государственную регистрацию прав, информации, необходимой для ведения ЕГРН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представленной информации (единицы)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0,1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>
          <w:trHeight w:val="1846"/>
        </w:trPr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ind w:right="-6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редставление копий хранящихся отчетов и документов, сформированных в ходе определения кадастровой стоимости, а также документов и материалов, которые использовались при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определении кадастровой стоимости, уполномоченным государственным органам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по их требованию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Количество поступивших обращений, запросов (единицы)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0,16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0,16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>
          <w:trHeight w:val="425"/>
        </w:trPr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Постоянное хранение технических паспортов, оценочной и иной хранившейся по состоянию 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на 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0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1 января 2013 года в органах и организациях по государствен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ному техническому учету и (или) технической инвентаризации учетно-технической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vMerge w:val="restart"/>
            <w:textDirection w:val="lrTb"/>
            <w:noWrap w:val="false"/>
          </w:tcPr>
          <w:p>
            <w:pPr>
              <w:ind w:right="-64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2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6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vMerge w:val="restart"/>
            <w:textDirection w:val="lrTb"/>
            <w:noWrap w:val="false"/>
          </w:tcPr>
          <w:p>
            <w:pPr>
              <w:ind w:right="-64"/>
              <w:jc w:val="left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2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6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Объем хранимых документов (дел) (единица)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38965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38980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39000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77,93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77,96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78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кадастровой стоимости объектов недвижимости в соответствии со статьей 16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Закона о государственной кадастровой оценке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недвижимости, для которых определена кадастровая стоимость (единицы)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100000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sz w:val="22"/>
                <w:szCs w:val="22"/>
              </w:rPr>
              <w:t xml:space="preserve">100000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772" w:type="dxa"/>
            <w:textDirection w:val="lrTb"/>
            <w:noWrap w:val="false"/>
          </w:tcPr>
          <w:p>
            <w:r/>
            <w:r>
              <w:rPr>
                <w:rFonts w:ascii="Times New Roman" w:hAnsi="Times New Roman"/>
                <w:sz w:val="22"/>
                <w:szCs w:val="22"/>
              </w:rPr>
              <w:t xml:space="preserve">100000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2000,0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2000,0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2000,0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кадастровой стоимости объектов недвижимости в соответствии со статьей 14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Закона о государственной кадастровой оценке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недвижимости, для которых определена кадастровая стоимость (единица)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1800,0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Сбор, обработка, систематизация и накопление информации при определении кадастровой стоимости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собранной информации (единица)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6010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6100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6100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126,21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128,1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128,1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Хранение отчетов и иных документов, </w:t>
            </w:r>
            <w:r>
              <w:rPr>
                <w:rFonts w:ascii="Times New Roman" w:hAnsi="Times New Roman"/>
                <w:sz w:val="24"/>
              </w:rPr>
              <w:t xml:space="preserve">формируемых в ходе определения кадастровой стоимости, на электронном носителе в форме электронных документов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Объем хранящейся информации </w:t>
            </w:r>
            <w:r>
              <w:rPr>
                <w:rFonts w:ascii="Times New Roman" w:hAnsi="Times New Roman"/>
                <w:sz w:val="24"/>
              </w:rPr>
              <w:t xml:space="preserve">(единица)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0,12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0,12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0,12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Хранение копий документов и материалов, использованных при определении кадастровой стоимости, на бумажном или электронном носителе либо на электронном носителе в форме электронных документов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Объем хранящейся информации </w:t>
            </w:r>
            <w:r>
              <w:rPr>
                <w:rFonts w:ascii="Times New Roman" w:hAnsi="Times New Roman"/>
                <w:sz w:val="24"/>
              </w:rPr>
              <w:t xml:space="preserve">(единица)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48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48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48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0,96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0,96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0,96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6101" w:type="dxa"/>
            <w:vMerge w:val="restart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Итого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vMerge w:val="restart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83" w:right="-283" w:firstLine="0"/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2248,34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83" w:right="-283" w:firstLine="0"/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2345,26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ind w:left="-283" w:right="-283" w:firstLine="0"/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4050,49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vMerge w:val="restart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–».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</w:tbl>
    <w:p>
      <w:pPr>
        <w:contextualSpacing w:val="0"/>
        <w:ind w:left="0" w:firstLine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1"/>
      </w:tblGrid>
      <w:tr>
        <w:trPr/>
        <w:tc>
          <w:tcPr>
            <w:tcW w:w="4928" w:type="dxa"/>
            <w:textDirection w:val="lrTb"/>
            <w:noWrap w:val="false"/>
          </w:tcPr>
          <w:p>
            <w:pPr>
              <w:pStyle w:val="9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42" w:type="dxa"/>
            <w:textDirection w:val="lrTb"/>
            <w:noWrap w:val="false"/>
          </w:tcPr>
          <w:p>
            <w:pPr>
              <w:pStyle w:val="988"/>
              <w:ind w:firstLine="7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Р.Э. Гольдштейн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02581094"/>
      <w:docPartObj>
        <w:docPartGallery w:val="Page Numbers (Top of Page)"/>
        <w:docPartUnique w:val="true"/>
      </w:docPartObj>
      <w:rPr/>
    </w:sdtPr>
    <w:sdtContent>
      <w:p>
        <w:pPr>
          <w:pStyle w:val="979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20</w:t>
        </w:r>
        <w:r>
          <w:rPr>
            <w:rFonts w:ascii="Times New Roman" w:hAnsi="Times New Roman"/>
            <w:sz w:val="28"/>
          </w:rPr>
          <w:fldChar w:fldCharType="end"/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0" w:hanging="1370"/>
      </w:pPr>
      <w:rPr>
        <w:rFonts w:hint="default" w:eastAsiaTheme="minorHAnsi"/>
      </w:rPr>
    </w:lvl>
    <w:lvl w:ilvl="1">
      <w:start w:val="1"/>
      <w:numFmt w:val="decimal"/>
      <w:isLgl w:val="false"/>
      <w:suff w:val="tab"/>
      <w:lvlText w:val="%1.%2."/>
      <w:lvlJc w:val="left"/>
      <w:pPr>
        <w:ind w:left="2079" w:hanging="137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88" w:hanging="137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97" w:hanging="137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06" w:hanging="137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Theme="minorHAnsi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126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126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2820" w:hanging="1260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3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3.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0" w:hanging="1420"/>
      </w:pPr>
      <w:rPr>
        <w:rFonts w:hint="default"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2129" w:hanging="142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38" w:hanging="14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547" w:hanging="142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56" w:hanging="142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 w:eastAsiaTheme="minorHAnsi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Theme="minorHAnsi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Theme="minorHAnsi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 w:eastAsiaTheme="minorHAnsi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1080" w:hanging="36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"/>
      <w:lvlJc w:val="left"/>
      <w:pPr>
        <w:ind w:left="252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Theme="minorHAnsi"/>
      </w:rPr>
    </w:lvl>
    <w:lvl w:ilvl="1">
      <w:start w:val="6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 w:eastAsiaTheme="minorHAnsi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5"/>
  </w:num>
  <w:num w:numId="2">
    <w:abstractNumId w:val="19"/>
  </w:num>
  <w:num w:numId="3">
    <w:abstractNumId w:val="6"/>
  </w:num>
  <w:num w:numId="4">
    <w:abstractNumId w:val="20"/>
  </w:num>
  <w:num w:numId="5">
    <w:abstractNumId w:val="22"/>
  </w:num>
  <w:num w:numId="6">
    <w:abstractNumId w:val="29"/>
  </w:num>
  <w:num w:numId="7">
    <w:abstractNumId w:val="15"/>
  </w:num>
  <w:num w:numId="8">
    <w:abstractNumId w:val="28"/>
  </w:num>
  <w:num w:numId="9">
    <w:abstractNumId w:val="0"/>
  </w:num>
  <w:num w:numId="10">
    <w:abstractNumId w:val="14"/>
  </w:num>
  <w:num w:numId="11">
    <w:abstractNumId w:val="23"/>
  </w:num>
  <w:num w:numId="12">
    <w:abstractNumId w:val="13"/>
  </w:num>
  <w:num w:numId="13">
    <w:abstractNumId w:val="21"/>
  </w:num>
  <w:num w:numId="14">
    <w:abstractNumId w:val="2"/>
  </w:num>
  <w:num w:numId="15">
    <w:abstractNumId w:val="31"/>
  </w:num>
  <w:num w:numId="16">
    <w:abstractNumId w:val="30"/>
  </w:num>
  <w:num w:numId="17">
    <w:abstractNumId w:val="11"/>
  </w:num>
  <w:num w:numId="18">
    <w:abstractNumId w:val="3"/>
  </w:num>
  <w:num w:numId="19">
    <w:abstractNumId w:val="17"/>
  </w:num>
  <w:num w:numId="20">
    <w:abstractNumId w:val="4"/>
  </w:num>
  <w:num w:numId="21">
    <w:abstractNumId w:val="1"/>
  </w:num>
  <w:num w:numId="22">
    <w:abstractNumId w:val="5"/>
  </w:num>
  <w:num w:numId="23">
    <w:abstractNumId w:val="26"/>
  </w:num>
  <w:num w:numId="24">
    <w:abstractNumId w:val="10"/>
  </w:num>
  <w:num w:numId="25">
    <w:abstractNumId w:val="9"/>
  </w:num>
  <w:num w:numId="26">
    <w:abstractNumId w:val="27"/>
  </w:num>
  <w:num w:numId="27">
    <w:abstractNumId w:val="18"/>
  </w:num>
  <w:num w:numId="28">
    <w:abstractNumId w:val="24"/>
  </w:num>
  <w:num w:numId="29">
    <w:abstractNumId w:val="16"/>
  </w:num>
  <w:num w:numId="30">
    <w:abstractNumId w:val="8"/>
  </w:num>
  <w:num w:numId="31">
    <w:abstractNumId w:val="7"/>
  </w:num>
  <w:num w:numId="32">
    <w:abstractNumId w:val="12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6">
    <w:name w:val="Heading 1 Char"/>
    <w:basedOn w:val="811"/>
    <w:link w:val="802"/>
    <w:uiPriority w:val="9"/>
    <w:rPr>
      <w:rFonts w:ascii="Arial" w:hAnsi="Arial" w:eastAsia="Arial" w:cs="Arial"/>
      <w:sz w:val="40"/>
      <w:szCs w:val="40"/>
    </w:rPr>
  </w:style>
  <w:style w:type="character" w:styleId="787">
    <w:name w:val="Heading 2 Char"/>
    <w:basedOn w:val="811"/>
    <w:link w:val="803"/>
    <w:uiPriority w:val="9"/>
    <w:rPr>
      <w:rFonts w:ascii="Arial" w:hAnsi="Arial" w:eastAsia="Arial" w:cs="Arial"/>
      <w:sz w:val="34"/>
    </w:rPr>
  </w:style>
  <w:style w:type="character" w:styleId="788">
    <w:name w:val="Heading 3 Char"/>
    <w:basedOn w:val="811"/>
    <w:link w:val="804"/>
    <w:uiPriority w:val="9"/>
    <w:rPr>
      <w:rFonts w:ascii="Arial" w:hAnsi="Arial" w:eastAsia="Arial" w:cs="Arial"/>
      <w:sz w:val="30"/>
      <w:szCs w:val="30"/>
    </w:rPr>
  </w:style>
  <w:style w:type="character" w:styleId="789">
    <w:name w:val="Heading 4 Char"/>
    <w:basedOn w:val="811"/>
    <w:link w:val="805"/>
    <w:uiPriority w:val="9"/>
    <w:rPr>
      <w:rFonts w:ascii="Arial" w:hAnsi="Arial" w:eastAsia="Arial" w:cs="Arial"/>
      <w:b/>
      <w:bCs/>
      <w:sz w:val="26"/>
      <w:szCs w:val="26"/>
    </w:rPr>
  </w:style>
  <w:style w:type="character" w:styleId="790">
    <w:name w:val="Heading 5 Char"/>
    <w:basedOn w:val="811"/>
    <w:link w:val="806"/>
    <w:uiPriority w:val="9"/>
    <w:rPr>
      <w:rFonts w:ascii="Arial" w:hAnsi="Arial" w:eastAsia="Arial" w:cs="Arial"/>
      <w:b/>
      <w:bCs/>
      <w:sz w:val="24"/>
      <w:szCs w:val="24"/>
    </w:rPr>
  </w:style>
  <w:style w:type="character" w:styleId="791">
    <w:name w:val="Heading 6 Char"/>
    <w:basedOn w:val="811"/>
    <w:link w:val="807"/>
    <w:uiPriority w:val="9"/>
    <w:rPr>
      <w:rFonts w:ascii="Arial" w:hAnsi="Arial" w:eastAsia="Arial" w:cs="Arial"/>
      <w:b/>
      <w:bCs/>
      <w:sz w:val="22"/>
      <w:szCs w:val="22"/>
    </w:rPr>
  </w:style>
  <w:style w:type="character" w:styleId="792">
    <w:name w:val="Heading 7 Char"/>
    <w:basedOn w:val="811"/>
    <w:link w:val="8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3">
    <w:name w:val="Heading 8 Char"/>
    <w:basedOn w:val="811"/>
    <w:link w:val="809"/>
    <w:uiPriority w:val="9"/>
    <w:rPr>
      <w:rFonts w:ascii="Arial" w:hAnsi="Arial" w:eastAsia="Arial" w:cs="Arial"/>
      <w:i/>
      <w:iCs/>
      <w:sz w:val="22"/>
      <w:szCs w:val="22"/>
    </w:rPr>
  </w:style>
  <w:style w:type="character" w:styleId="794">
    <w:name w:val="Heading 9 Char"/>
    <w:basedOn w:val="811"/>
    <w:link w:val="810"/>
    <w:uiPriority w:val="9"/>
    <w:rPr>
      <w:rFonts w:ascii="Arial" w:hAnsi="Arial" w:eastAsia="Arial" w:cs="Arial"/>
      <w:i/>
      <w:iCs/>
      <w:sz w:val="21"/>
      <w:szCs w:val="21"/>
    </w:rPr>
  </w:style>
  <w:style w:type="character" w:styleId="795">
    <w:name w:val="Title Char"/>
    <w:basedOn w:val="811"/>
    <w:link w:val="824"/>
    <w:uiPriority w:val="10"/>
    <w:rPr>
      <w:sz w:val="48"/>
      <w:szCs w:val="48"/>
    </w:rPr>
  </w:style>
  <w:style w:type="character" w:styleId="796">
    <w:name w:val="Subtitle Char"/>
    <w:basedOn w:val="811"/>
    <w:link w:val="826"/>
    <w:uiPriority w:val="11"/>
    <w:rPr>
      <w:sz w:val="24"/>
      <w:szCs w:val="24"/>
    </w:rPr>
  </w:style>
  <w:style w:type="character" w:styleId="797">
    <w:name w:val="Quote Char"/>
    <w:link w:val="828"/>
    <w:uiPriority w:val="29"/>
    <w:rPr>
      <w:i/>
    </w:rPr>
  </w:style>
  <w:style w:type="character" w:styleId="798">
    <w:name w:val="Intense Quote Char"/>
    <w:link w:val="830"/>
    <w:uiPriority w:val="30"/>
    <w:rPr>
      <w:i/>
    </w:rPr>
  </w:style>
  <w:style w:type="character" w:styleId="799">
    <w:name w:val="Footnote Text Char"/>
    <w:link w:val="961"/>
    <w:uiPriority w:val="99"/>
    <w:rPr>
      <w:sz w:val="18"/>
    </w:rPr>
  </w:style>
  <w:style w:type="character" w:styleId="800">
    <w:name w:val="Endnote Text Char"/>
    <w:link w:val="964"/>
    <w:uiPriority w:val="99"/>
    <w:rPr>
      <w:sz w:val="20"/>
    </w:rPr>
  </w:style>
  <w:style w:type="paragraph" w:styleId="801" w:default="1">
    <w:name w:val="Normal"/>
    <w:qFormat/>
  </w:style>
  <w:style w:type="paragraph" w:styleId="802">
    <w:name w:val="Heading 1"/>
    <w:basedOn w:val="801"/>
    <w:next w:val="801"/>
    <w:link w:val="81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03">
    <w:name w:val="Heading 2"/>
    <w:basedOn w:val="801"/>
    <w:next w:val="801"/>
    <w:link w:val="81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04">
    <w:name w:val="Heading 3"/>
    <w:basedOn w:val="801"/>
    <w:next w:val="801"/>
    <w:link w:val="81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05">
    <w:name w:val="Heading 4"/>
    <w:basedOn w:val="801"/>
    <w:next w:val="801"/>
    <w:link w:val="81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6">
    <w:name w:val="Heading 5"/>
    <w:basedOn w:val="801"/>
    <w:next w:val="801"/>
    <w:link w:val="81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7">
    <w:name w:val="Heading 6"/>
    <w:basedOn w:val="801"/>
    <w:next w:val="801"/>
    <w:link w:val="81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08">
    <w:name w:val="Heading 7"/>
    <w:basedOn w:val="801"/>
    <w:next w:val="801"/>
    <w:link w:val="82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09">
    <w:name w:val="Heading 8"/>
    <w:basedOn w:val="801"/>
    <w:next w:val="801"/>
    <w:link w:val="82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10">
    <w:name w:val="Heading 9"/>
    <w:basedOn w:val="801"/>
    <w:next w:val="801"/>
    <w:link w:val="82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character" w:styleId="814" w:customStyle="1">
    <w:name w:val="Заголовок 1 Знак"/>
    <w:basedOn w:val="811"/>
    <w:link w:val="802"/>
    <w:uiPriority w:val="9"/>
    <w:rPr>
      <w:rFonts w:ascii="Arial" w:hAnsi="Arial" w:eastAsia="Arial" w:cs="Arial"/>
      <w:sz w:val="40"/>
      <w:szCs w:val="40"/>
    </w:rPr>
  </w:style>
  <w:style w:type="character" w:styleId="815" w:customStyle="1">
    <w:name w:val="Заголовок 2 Знак"/>
    <w:basedOn w:val="811"/>
    <w:link w:val="803"/>
    <w:uiPriority w:val="9"/>
    <w:rPr>
      <w:rFonts w:ascii="Arial" w:hAnsi="Arial" w:eastAsia="Arial" w:cs="Arial"/>
      <w:sz w:val="34"/>
    </w:rPr>
  </w:style>
  <w:style w:type="character" w:styleId="816" w:customStyle="1">
    <w:name w:val="Заголовок 3 Знак"/>
    <w:basedOn w:val="811"/>
    <w:link w:val="804"/>
    <w:uiPriority w:val="9"/>
    <w:rPr>
      <w:rFonts w:ascii="Arial" w:hAnsi="Arial" w:eastAsia="Arial" w:cs="Arial"/>
      <w:sz w:val="30"/>
      <w:szCs w:val="30"/>
    </w:rPr>
  </w:style>
  <w:style w:type="character" w:styleId="817" w:customStyle="1">
    <w:name w:val="Заголовок 4 Знак"/>
    <w:basedOn w:val="811"/>
    <w:link w:val="805"/>
    <w:uiPriority w:val="9"/>
    <w:rPr>
      <w:rFonts w:ascii="Arial" w:hAnsi="Arial" w:eastAsia="Arial" w:cs="Arial"/>
      <w:b/>
      <w:bCs/>
      <w:sz w:val="26"/>
      <w:szCs w:val="26"/>
    </w:rPr>
  </w:style>
  <w:style w:type="character" w:styleId="818" w:customStyle="1">
    <w:name w:val="Заголовок 5 Знак"/>
    <w:basedOn w:val="811"/>
    <w:link w:val="806"/>
    <w:uiPriority w:val="9"/>
    <w:rPr>
      <w:rFonts w:ascii="Arial" w:hAnsi="Arial" w:eastAsia="Arial" w:cs="Arial"/>
      <w:b/>
      <w:bCs/>
      <w:sz w:val="24"/>
      <w:szCs w:val="24"/>
    </w:rPr>
  </w:style>
  <w:style w:type="character" w:styleId="819" w:customStyle="1">
    <w:name w:val="Заголовок 6 Знак"/>
    <w:basedOn w:val="811"/>
    <w:link w:val="807"/>
    <w:uiPriority w:val="9"/>
    <w:rPr>
      <w:rFonts w:ascii="Arial" w:hAnsi="Arial" w:eastAsia="Arial" w:cs="Arial"/>
      <w:b/>
      <w:bCs/>
      <w:sz w:val="22"/>
      <w:szCs w:val="22"/>
    </w:rPr>
  </w:style>
  <w:style w:type="character" w:styleId="820" w:customStyle="1">
    <w:name w:val="Заголовок 7 Знак"/>
    <w:basedOn w:val="811"/>
    <w:link w:val="8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1" w:customStyle="1">
    <w:name w:val="Заголовок 8 Знак"/>
    <w:basedOn w:val="811"/>
    <w:link w:val="809"/>
    <w:uiPriority w:val="9"/>
    <w:rPr>
      <w:rFonts w:ascii="Arial" w:hAnsi="Arial" w:eastAsia="Arial" w:cs="Arial"/>
      <w:i/>
      <w:iCs/>
      <w:sz w:val="22"/>
      <w:szCs w:val="22"/>
    </w:rPr>
  </w:style>
  <w:style w:type="character" w:styleId="822" w:customStyle="1">
    <w:name w:val="Заголовок 9 Знак"/>
    <w:basedOn w:val="811"/>
    <w:link w:val="810"/>
    <w:uiPriority w:val="9"/>
    <w:rPr>
      <w:rFonts w:ascii="Arial" w:hAnsi="Arial" w:eastAsia="Arial" w:cs="Arial"/>
      <w:i/>
      <w:iCs/>
      <w:sz w:val="21"/>
      <w:szCs w:val="21"/>
    </w:rPr>
  </w:style>
  <w:style w:type="paragraph" w:styleId="823">
    <w:name w:val="No Spacing"/>
    <w:uiPriority w:val="1"/>
    <w:qFormat/>
    <w:pPr>
      <w:spacing w:after="0" w:line="240" w:lineRule="auto"/>
    </w:pPr>
  </w:style>
  <w:style w:type="paragraph" w:styleId="824">
    <w:name w:val="Title"/>
    <w:basedOn w:val="801"/>
    <w:next w:val="801"/>
    <w:link w:val="825"/>
    <w:uiPriority w:val="10"/>
    <w:qFormat/>
    <w:pPr>
      <w:contextualSpacing/>
      <w:spacing w:before="300"/>
    </w:pPr>
    <w:rPr>
      <w:sz w:val="48"/>
      <w:szCs w:val="48"/>
    </w:rPr>
  </w:style>
  <w:style w:type="character" w:styleId="825" w:customStyle="1">
    <w:name w:val="Заголовок Знак"/>
    <w:basedOn w:val="811"/>
    <w:link w:val="824"/>
    <w:uiPriority w:val="10"/>
    <w:rPr>
      <w:sz w:val="48"/>
      <w:szCs w:val="48"/>
    </w:rPr>
  </w:style>
  <w:style w:type="paragraph" w:styleId="826">
    <w:name w:val="Subtitle"/>
    <w:basedOn w:val="801"/>
    <w:next w:val="801"/>
    <w:link w:val="827"/>
    <w:uiPriority w:val="11"/>
    <w:qFormat/>
    <w:pPr>
      <w:spacing w:before="200"/>
    </w:pPr>
    <w:rPr>
      <w:sz w:val="24"/>
      <w:szCs w:val="24"/>
    </w:rPr>
  </w:style>
  <w:style w:type="character" w:styleId="827" w:customStyle="1">
    <w:name w:val="Подзаголовок Знак"/>
    <w:basedOn w:val="811"/>
    <w:link w:val="826"/>
    <w:uiPriority w:val="11"/>
    <w:rPr>
      <w:sz w:val="24"/>
      <w:szCs w:val="24"/>
    </w:rPr>
  </w:style>
  <w:style w:type="paragraph" w:styleId="828">
    <w:name w:val="Quote"/>
    <w:basedOn w:val="801"/>
    <w:next w:val="801"/>
    <w:link w:val="829"/>
    <w:uiPriority w:val="29"/>
    <w:qFormat/>
    <w:pPr>
      <w:ind w:left="720" w:right="720"/>
    </w:pPr>
    <w:rPr>
      <w:i/>
    </w:rPr>
  </w:style>
  <w:style w:type="character" w:styleId="829" w:customStyle="1">
    <w:name w:val="Цитата 2 Знак"/>
    <w:link w:val="828"/>
    <w:uiPriority w:val="29"/>
    <w:rPr>
      <w:i/>
    </w:rPr>
  </w:style>
  <w:style w:type="paragraph" w:styleId="830">
    <w:name w:val="Intense Quote"/>
    <w:basedOn w:val="801"/>
    <w:next w:val="801"/>
    <w:link w:val="8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1" w:customStyle="1">
    <w:name w:val="Выделенная цитата Знак"/>
    <w:link w:val="830"/>
    <w:uiPriority w:val="30"/>
    <w:rPr>
      <w:i/>
    </w:rPr>
  </w:style>
  <w:style w:type="character" w:styleId="832" w:customStyle="1">
    <w:name w:val="Header Char"/>
    <w:basedOn w:val="811"/>
    <w:uiPriority w:val="99"/>
  </w:style>
  <w:style w:type="character" w:styleId="833" w:customStyle="1">
    <w:name w:val="Footer Char"/>
    <w:basedOn w:val="811"/>
    <w:uiPriority w:val="99"/>
  </w:style>
  <w:style w:type="paragraph" w:styleId="834">
    <w:name w:val="Caption"/>
    <w:basedOn w:val="801"/>
    <w:next w:val="80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35" w:customStyle="1">
    <w:name w:val="Caption Char"/>
    <w:uiPriority w:val="99"/>
  </w:style>
  <w:style w:type="table" w:styleId="836" w:customStyle="1">
    <w:name w:val="Table Grid Light"/>
    <w:basedOn w:val="8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7">
    <w:name w:val="Plain Table 1"/>
    <w:basedOn w:val="8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8">
    <w:name w:val="Plain Table 2"/>
    <w:basedOn w:val="8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9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0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2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4" w:customStyle="1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5" w:customStyle="1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6" w:customStyle="1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7" w:customStyle="1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8" w:customStyle="1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9" w:customStyle="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0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7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8" w:customStyle="1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9" w:customStyle="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0" w:customStyle="1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1" w:customStyle="1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2" w:customStyle="1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3" w:customStyle="1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4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2" w:customStyle="1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5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7" w:customStyle="1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8" w:customStyle="1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9" w:customStyle="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0" w:customStyle="1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1" w:customStyle="1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2" w:customStyle="1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3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4" w:customStyle="1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5" w:customStyle="1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6" w:customStyle="1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7" w:customStyle="1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8" w:customStyle="1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9" w:customStyle="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0" w:customStyle="1">
    <w:name w:val="Lined - Accent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1" w:customStyle="1">
    <w:name w:val="Lined - Accent 1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2" w:customStyle="1">
    <w:name w:val="Lined - Accent 2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3" w:customStyle="1">
    <w:name w:val="Lined - Accent 3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4" w:customStyle="1">
    <w:name w:val="Lined - Accent 4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5" w:customStyle="1">
    <w:name w:val="Lined - Accent 5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6" w:customStyle="1">
    <w:name w:val="Lined - Accent 6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7" w:customStyle="1">
    <w:name w:val="Bordered &amp; Lined - Accent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8" w:customStyle="1">
    <w:name w:val="Bordered &amp; Lined - Accent 1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9" w:customStyle="1">
    <w:name w:val="Bordered &amp; Lined - Accent 2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0" w:customStyle="1">
    <w:name w:val="Bordered &amp; Lined - Accent 3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1" w:customStyle="1">
    <w:name w:val="Bordered &amp; Lined - Accent 4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2" w:customStyle="1">
    <w:name w:val="Bordered &amp; Lined - Accent 5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3" w:customStyle="1">
    <w:name w:val="Bordered &amp; Lined - Accent 6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4" w:customStyle="1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5" w:customStyle="1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6" w:customStyle="1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7" w:customStyle="1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8" w:customStyle="1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9" w:customStyle="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0" w:customStyle="1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61">
    <w:name w:val="footnote text"/>
    <w:basedOn w:val="801"/>
    <w:link w:val="962"/>
    <w:uiPriority w:val="99"/>
    <w:semiHidden/>
    <w:unhideWhenUsed/>
    <w:pPr>
      <w:spacing w:after="40" w:line="240" w:lineRule="auto"/>
    </w:pPr>
    <w:rPr>
      <w:sz w:val="18"/>
    </w:rPr>
  </w:style>
  <w:style w:type="character" w:styleId="962" w:customStyle="1">
    <w:name w:val="Текст сноски Знак"/>
    <w:link w:val="961"/>
    <w:uiPriority w:val="99"/>
    <w:rPr>
      <w:sz w:val="18"/>
    </w:rPr>
  </w:style>
  <w:style w:type="character" w:styleId="963">
    <w:name w:val="footnote reference"/>
    <w:basedOn w:val="811"/>
    <w:uiPriority w:val="99"/>
    <w:unhideWhenUsed/>
    <w:rPr>
      <w:vertAlign w:val="superscript"/>
    </w:rPr>
  </w:style>
  <w:style w:type="paragraph" w:styleId="964">
    <w:name w:val="endnote text"/>
    <w:basedOn w:val="801"/>
    <w:link w:val="965"/>
    <w:uiPriority w:val="99"/>
    <w:semiHidden/>
    <w:unhideWhenUsed/>
    <w:pPr>
      <w:spacing w:after="0" w:line="240" w:lineRule="auto"/>
    </w:pPr>
    <w:rPr>
      <w:sz w:val="20"/>
    </w:rPr>
  </w:style>
  <w:style w:type="character" w:styleId="965" w:customStyle="1">
    <w:name w:val="Текст концевой сноски Знак"/>
    <w:link w:val="964"/>
    <w:uiPriority w:val="99"/>
    <w:rPr>
      <w:sz w:val="20"/>
    </w:rPr>
  </w:style>
  <w:style w:type="character" w:styleId="966">
    <w:name w:val="endnote reference"/>
    <w:basedOn w:val="811"/>
    <w:uiPriority w:val="99"/>
    <w:semiHidden/>
    <w:unhideWhenUsed/>
    <w:rPr>
      <w:vertAlign w:val="superscript"/>
    </w:rPr>
  </w:style>
  <w:style w:type="paragraph" w:styleId="967">
    <w:name w:val="toc 1"/>
    <w:basedOn w:val="801"/>
    <w:next w:val="801"/>
    <w:uiPriority w:val="39"/>
    <w:unhideWhenUsed/>
    <w:pPr>
      <w:spacing w:after="57"/>
    </w:pPr>
  </w:style>
  <w:style w:type="paragraph" w:styleId="968">
    <w:name w:val="toc 2"/>
    <w:basedOn w:val="801"/>
    <w:next w:val="801"/>
    <w:uiPriority w:val="39"/>
    <w:unhideWhenUsed/>
    <w:pPr>
      <w:ind w:left="283"/>
      <w:spacing w:after="57"/>
    </w:pPr>
  </w:style>
  <w:style w:type="paragraph" w:styleId="969">
    <w:name w:val="toc 3"/>
    <w:basedOn w:val="801"/>
    <w:next w:val="801"/>
    <w:uiPriority w:val="39"/>
    <w:unhideWhenUsed/>
    <w:pPr>
      <w:ind w:left="567"/>
      <w:spacing w:after="57"/>
    </w:pPr>
  </w:style>
  <w:style w:type="paragraph" w:styleId="970">
    <w:name w:val="toc 4"/>
    <w:basedOn w:val="801"/>
    <w:next w:val="801"/>
    <w:uiPriority w:val="39"/>
    <w:unhideWhenUsed/>
    <w:pPr>
      <w:ind w:left="850"/>
      <w:spacing w:after="57"/>
    </w:pPr>
  </w:style>
  <w:style w:type="paragraph" w:styleId="971">
    <w:name w:val="toc 5"/>
    <w:basedOn w:val="801"/>
    <w:next w:val="801"/>
    <w:uiPriority w:val="39"/>
    <w:unhideWhenUsed/>
    <w:pPr>
      <w:ind w:left="1134"/>
      <w:spacing w:after="57"/>
    </w:pPr>
  </w:style>
  <w:style w:type="paragraph" w:styleId="972">
    <w:name w:val="toc 6"/>
    <w:basedOn w:val="801"/>
    <w:next w:val="801"/>
    <w:uiPriority w:val="39"/>
    <w:unhideWhenUsed/>
    <w:pPr>
      <w:ind w:left="1417"/>
      <w:spacing w:after="57"/>
    </w:pPr>
  </w:style>
  <w:style w:type="paragraph" w:styleId="973">
    <w:name w:val="toc 7"/>
    <w:basedOn w:val="801"/>
    <w:next w:val="801"/>
    <w:uiPriority w:val="39"/>
    <w:unhideWhenUsed/>
    <w:pPr>
      <w:ind w:left="1701"/>
      <w:spacing w:after="57"/>
    </w:pPr>
  </w:style>
  <w:style w:type="paragraph" w:styleId="974">
    <w:name w:val="toc 8"/>
    <w:basedOn w:val="801"/>
    <w:next w:val="801"/>
    <w:uiPriority w:val="39"/>
    <w:unhideWhenUsed/>
    <w:pPr>
      <w:ind w:left="1984"/>
      <w:spacing w:after="57"/>
    </w:pPr>
  </w:style>
  <w:style w:type="paragraph" w:styleId="975">
    <w:name w:val="toc 9"/>
    <w:basedOn w:val="801"/>
    <w:next w:val="801"/>
    <w:uiPriority w:val="39"/>
    <w:unhideWhenUsed/>
    <w:pPr>
      <w:ind w:left="2268"/>
      <w:spacing w:after="57"/>
    </w:pPr>
  </w:style>
  <w:style w:type="paragraph" w:styleId="976">
    <w:name w:val="TOC Heading"/>
    <w:uiPriority w:val="39"/>
    <w:unhideWhenUsed/>
  </w:style>
  <w:style w:type="paragraph" w:styleId="977">
    <w:name w:val="table of figures"/>
    <w:basedOn w:val="801"/>
    <w:next w:val="801"/>
    <w:uiPriority w:val="99"/>
    <w:unhideWhenUsed/>
    <w:pPr>
      <w:spacing w:after="0"/>
    </w:pPr>
  </w:style>
  <w:style w:type="table" w:styleId="978">
    <w:name w:val="Table Grid"/>
    <w:basedOn w:val="812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9">
    <w:name w:val="Header"/>
    <w:basedOn w:val="801"/>
    <w:link w:val="9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4"/>
      <w:szCs w:val="24"/>
      <w:lang w:eastAsia="ru-RU"/>
    </w:rPr>
  </w:style>
  <w:style w:type="character" w:styleId="980" w:customStyle="1">
    <w:name w:val="Верхний колонтитул Знак"/>
    <w:basedOn w:val="811"/>
    <w:link w:val="979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981">
    <w:name w:val="Footer"/>
    <w:basedOn w:val="801"/>
    <w:link w:val="9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82" w:customStyle="1">
    <w:name w:val="Нижний колонтитул Знак"/>
    <w:basedOn w:val="811"/>
    <w:link w:val="981"/>
    <w:uiPriority w:val="99"/>
  </w:style>
  <w:style w:type="paragraph" w:styleId="983">
    <w:name w:val="Balloon Text"/>
    <w:basedOn w:val="801"/>
    <w:link w:val="9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84" w:customStyle="1">
    <w:name w:val="Текст выноски Знак"/>
    <w:basedOn w:val="811"/>
    <w:link w:val="983"/>
    <w:uiPriority w:val="99"/>
    <w:semiHidden/>
    <w:rPr>
      <w:rFonts w:ascii="Tahoma" w:hAnsi="Tahoma" w:cs="Tahoma"/>
      <w:sz w:val="16"/>
      <w:szCs w:val="16"/>
    </w:rPr>
  </w:style>
  <w:style w:type="paragraph" w:styleId="985" w:customStyle="1">
    <w:name w:val="Знак"/>
    <w:basedOn w:val="801"/>
    <w:pPr>
      <w:spacing w:after="160"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98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87">
    <w:name w:val="List Paragraph"/>
    <w:basedOn w:val="801"/>
    <w:uiPriority w:val="34"/>
    <w:qFormat/>
    <w:pPr>
      <w:contextualSpacing/>
      <w:ind w:left="720"/>
    </w:pPr>
  </w:style>
  <w:style w:type="paragraph" w:styleId="98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table" w:styleId="989">
    <w:name w:val="Grid Table Light"/>
    <w:basedOn w:val="812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990">
    <w:name w:val="Hyperlink"/>
    <w:basedOn w:val="811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consultantplus://offline/ref=8B0EAE4DC1E42608357C6F1FC174F0FAA79F8A5680C8D468005A638220FF387A397AEE37F8C2E1AB21E42DA6DB96156CD3CA9E45D5D992B10222AErDJAG" TargetMode="External"/><Relationship Id="rId14" Type="http://schemas.openxmlformats.org/officeDocument/2006/relationships/hyperlink" Target="consultantplus://offline/ref=8B0EAE4DC1E42608357C6F1FC174F0FAA79F8A5680C8D468005A638220FF387A397AEE37F8C2E1AB21E42DA6DB96156CD3CA9E45D5D992B10222AErDJA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D9E4-401C-476D-BE71-723FA71C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revision>33</cp:revision>
  <dcterms:created xsi:type="dcterms:W3CDTF">2020-02-05T23:27:00Z</dcterms:created>
  <dcterms:modified xsi:type="dcterms:W3CDTF">2024-01-30T05:09:12Z</dcterms:modified>
</cp:coreProperties>
</file>